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14 vom 8. April 2005</w:t>
      </w:r>
    </w:p>
    <w:p>
      <w:r>
        <w:t>GR Gerichte, 2005-04-08, DE</w:t>
      </w:r>
    </w:p>
    <w:p>
      <w:r>
        <w:rPr>
          <w:b/>
        </w:rPr>
        <w:t xml:space="preserve">Quelle: </w:t>
      </w:r>
      <w:r>
        <w:t>https://mcp.opencaselaw.ch/entscheid/gr_gerichte_A 2005 14</w:t>
      </w:r>
    </w:p>
    <w:p>
      <w:r>
        <w:t>FR: GR_GERICHTE A 2005 14 du 8 avril 2005</w:t>
      </w:r>
    </w:p>
    <w:p>
      <w:r>
        <w:t>IT: GR_GERICHTE A 2005 14 del 8 aprile 2005</w:t>
      </w:r>
    </w:p>
    <w:p>
      <w:pPr>
        <w:pStyle w:val="Heading2"/>
      </w:pPr>
      <w:r>
        <w:t>Regeste</w:t>
      </w:r>
    </w:p>
    <w:p>
      <w:r>
        <w:t>Tourismusförderungsabgabe | Kurtaxen und Tourismusförd.abg</w:t>
      </w:r>
    </w:p>
    <w:p>
      <w:pPr>
        <w:pStyle w:val="Heading2"/>
      </w:pPr>
      <w:r>
        <w:t>Erwägungen</w:t>
      </w:r>
    </w:p>
    <w:p>
      <w:r>
        <w:rPr>
          <w:b/>
        </w:rPr>
        <w:t>E. 3</w:t>
      </w:r>
    </w:p>
    <w:p>
      <w:r>
        <w:t>a) Die Rekurrentin ist der Auffassung, aus Art. 13 POG in Verbindung mit Art. 62d RVOG ergebe sich, dass sie lediglich für Gewinne aus den Wettbewerbsdiensten der Gewinnsteuer unterliege sowie für im Zusammenhang mit nicht unmittelbar öffentlichen Zwecken dienenden Liegenschaften erzielte Gewinne besteuert werden dürfe. b) Wie sich der Aufzählung in Art.</w:t>
      </w:r>
    </w:p>
    <w:p>
      <w:r>
        <w:rPr>
          <w:b/>
        </w:rPr>
        <w:t>E. 5</w:t>
      </w:r>
    </w:p>
    <w:p>
      <w:r>
        <w:t>lit. d KTG grundsätzlich alle Dienstleistungsbetriebe der Abgabepflicht unterwirft. Dass dazu auch die Rekurrentin mit ihren Wettbewerbsdiensten zählt, erscheint naheliegend. Die</w:t>
      </w:r>
    </w:p>
    <w:p>
      <w:r>
        <w:t>Zuweisung zu den in Art. 9 enthaltenen Kategorien kann - wie gesagt - erst bei der Veranlagung geprüft werden. Gleiches gilt für die teilweise geltend gemachte Veranlagungsverjährung. Ob diese eingetreten ist, ist ebenfalls bei allfälligen Rekursen gegen die Veranlagung zu prüfen.</w:t>
      </w:r>
    </w:p>
    <w:p>
      <w:r>
        <w:rPr>
          <w:b/>
        </w:rPr>
        <w:t>E. 6</w:t>
      </w:r>
    </w:p>
    <w:p>
      <w:r>
        <w:t>Bei diesem Ausgang gehen die Verfahrenskosten zulasten der Rekurrentin, welche die anwaltlich vertretene Gemeinde überdies angemessen aussergerichtlich zu entschädigen hat. Demnach erkennt das Gericht: 1. Die Rekurse werden abgewiesen. 2. Die Gerichtskosten, bestehend - aus einer Staatsgebühr von Fr. 5’000.-- - und den Kanzleiauslagen von Fr. 153.-- zusammen Fr. 5'153.-- gehen zulasten der Schweizerischen Post und sind innert 30 Tagen seit Zustellung dieses Entscheides an die Finanzverwaltung des Kantons Graubünden, Chur, zu bezahlen. 3. Die Schweizerische Post entschädigt die Gemeinde … aussergerichtlich mit Fr. 2'500.--. Die dagegen an das Bundesgericht erhobene staatsrechtliche Beschwerde wurde am 14. Februar 2006 abgewiesen, soweit darauf eingetreten wurde (2P.154/005/vje).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